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A9620F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322AE" wp14:editId="65C61957">
                <wp:simplePos x="0" y="0"/>
                <wp:positionH relativeFrom="column">
                  <wp:posOffset>-413425</wp:posOffset>
                </wp:positionH>
                <wp:positionV relativeFrom="paragraph">
                  <wp:posOffset>-116732</wp:posOffset>
                </wp:positionV>
                <wp:extent cx="5894962" cy="1721796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4962" cy="1721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C1146D" w:rsidRDefault="000D0ABD" w:rsidP="001F600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1146D">
                              <w:rPr>
                                <w:rFonts w:ascii="Tahoma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ריכוז נתונים </w:t>
                            </w:r>
                            <w:r w:rsidRPr="00C1146D">
                              <w:rPr>
                                <w:rFonts w:ascii="Tahoma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C1146D">
                              <w:rPr>
                                <w:rFonts w:ascii="Tahoma" w:hAnsi="David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643DC9" w:rsidRPr="00C1146D">
                              <w:rPr>
                                <w:rFonts w:ascii="Tahoma" w:hAnsi="David" w:hint="cs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במג'דל שמס</w:t>
                            </w:r>
                            <w:r w:rsidR="00CC37AB" w:rsidRPr="00C1146D">
                              <w:rPr>
                                <w:rFonts w:ascii="Tahoma" w:hAnsi="David" w:hint="cs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1146D">
                              <w:rPr>
                                <w:rFonts w:ascii="Tahoma" w:hAnsi="Arial" w:cs="Arial"/>
                                <w:sz w:val="36"/>
                                <w:szCs w:val="3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C1146D">
                              <w:rPr>
                                <w:rFonts w:ascii="Tahoma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C1146D">
                              <w:rPr>
                                <w:rFonts w:ascii="Tahoma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C1146D">
                              <w:rPr>
                                <w:rFonts w:ascii="Tahoma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643DC9" w:rsidRPr="00C1146D">
                              <w:rPr>
                                <w:rFonts w:ascii="Tahoma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מג'דל שמס</w:t>
                            </w:r>
                            <w:r w:rsidRPr="00C1146D">
                              <w:rPr>
                                <w:rFonts w:ascii="Tahoma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פרטים על איכות המים המסופקים ברשת ההספקה </w:t>
                            </w:r>
                            <w:proofErr w:type="spellStart"/>
                            <w:r w:rsidRPr="00C1146D">
                              <w:rPr>
                                <w:rFonts w:ascii="Tahoma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C1146D">
                              <w:rPr>
                                <w:rFonts w:ascii="Tahoma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A9620F" w:rsidRPr="00C1146D">
                              <w:rPr>
                                <w:rFonts w:ascii="Tahoma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Pr="00C1146D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1146D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C1146D">
                              <w:rPr>
                                <w:rFonts w:ascii="Tahoma" w:hAnsi="Arial" w:cs="Arial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643DC9" w:rsidRPr="00C1146D">
                              <w:rPr>
                                <w:rFonts w:ascii="Tahoma" w:hAnsi="Arial" w:cs="Arial" w:hint="cs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במג'דל שמס</w:t>
                            </w:r>
                            <w:r w:rsidRPr="00C1146D">
                              <w:rPr>
                                <w:rFonts w:ascii="Tahoma" w:hAnsi="Arial" w:cs="Arial" w:hint="cs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1146D">
                              <w:rPr>
                                <w:rFonts w:ascii="Tahoma" w:hAnsi="Arial" w:cs="Arial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1F6006">
                              <w:rPr>
                                <w:rFonts w:ascii="Tahoma" w:hAnsi="Arial" w:cs="Aria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1.4.2016-30.6.2016</w:t>
                            </w:r>
                            <w:r w:rsidRPr="00C1146D">
                              <w:rPr>
                                <w:rFonts w:ascii="Tahoma" w:hAnsi="Arial" w:cs="Arial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מחוז:72120 מחוז צפון נפה: 72121 נפתית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22AE" id="מלבן 5" o:spid="_x0000_s1026" style="position:absolute;left:0;text-align:left;margin-left:-32.55pt;margin-top:-9.2pt;width:464.15pt;height:1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" filled="f" fillcolor="yellow" stroked="f" strokecolor="yellow">
                <v:textbox>
                  <w:txbxContent>
                    <w:p w:rsidR="000D0ABD" w:rsidRPr="00C1146D" w:rsidRDefault="000D0ABD" w:rsidP="001F600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1146D">
                        <w:rPr>
                          <w:rFonts w:ascii="Tahoma" w:hAnsi="Arial" w:cs="Arial"/>
                          <w:b/>
                          <w:bCs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ריכוז נתונים </w:t>
                      </w:r>
                      <w:r w:rsidRPr="00C1146D">
                        <w:rPr>
                          <w:rFonts w:ascii="Tahoma" w:hAnsi="Arial" w:cs="Arial"/>
                          <w:b/>
                          <w:bCs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C1146D">
                        <w:rPr>
                          <w:rFonts w:ascii="Tahoma" w:hAnsi="David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643DC9" w:rsidRPr="00C1146D">
                        <w:rPr>
                          <w:rFonts w:ascii="Tahoma" w:hAnsi="David" w:hint="cs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במג'דל שמס</w:t>
                      </w:r>
                      <w:r w:rsidR="00CC37AB" w:rsidRPr="00C1146D">
                        <w:rPr>
                          <w:rFonts w:ascii="Tahoma" w:hAnsi="David" w:hint="cs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C1146D">
                        <w:rPr>
                          <w:rFonts w:ascii="Tahoma" w:hAnsi="Arial" w:cs="Arial"/>
                          <w:sz w:val="36"/>
                          <w:szCs w:val="3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C1146D">
                        <w:rPr>
                          <w:rFonts w:ascii="Tahoma" w:hAnsi="Arial" w:cs="Arial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C1146D">
                        <w:rPr>
                          <w:rFonts w:ascii="Tahoma" w:hAnsi="Arial" w:cs="Arial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C1146D">
                        <w:rPr>
                          <w:rFonts w:ascii="Tahoma" w:hAnsi="Arial" w:cs="Arial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643DC9" w:rsidRPr="00C1146D">
                        <w:rPr>
                          <w:rFonts w:ascii="Tahoma" w:hAnsi="Arial" w:cs="Arial" w:hint="cs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מג'דל שמס</w:t>
                      </w:r>
                      <w:r w:rsidRPr="00C1146D">
                        <w:rPr>
                          <w:rFonts w:ascii="Tahoma" w:hAnsi="Arial" w:cs="Arial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פרטים על איכות המים המסופקים ברשת ההספקה </w:t>
                      </w:r>
                      <w:proofErr w:type="spellStart"/>
                      <w:r w:rsidRPr="00C1146D">
                        <w:rPr>
                          <w:rFonts w:ascii="Tahoma" w:hAnsi="Arial" w:cs="Arial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C1146D">
                        <w:rPr>
                          <w:rFonts w:ascii="Tahoma" w:hAnsi="Arial" w:cs="Arial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A9620F" w:rsidRPr="00C1146D">
                        <w:rPr>
                          <w:rFonts w:ascii="Tahoma" w:hAnsi="Arial" w:cs="Arial" w:hint="cs"/>
                          <w:b/>
                          <w:bCs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Pr="00C1146D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C1146D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C1146D">
                        <w:rPr>
                          <w:rFonts w:ascii="Tahoma" w:hAnsi="Arial" w:cs="Arial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643DC9" w:rsidRPr="00C1146D">
                        <w:rPr>
                          <w:rFonts w:ascii="Tahoma" w:hAnsi="Arial" w:cs="Arial" w:hint="cs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במג'דל שמס</w:t>
                      </w:r>
                      <w:r w:rsidRPr="00C1146D">
                        <w:rPr>
                          <w:rFonts w:ascii="Tahoma" w:hAnsi="Arial" w:cs="Arial" w:hint="cs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C1146D">
                        <w:rPr>
                          <w:rFonts w:ascii="Tahoma" w:hAnsi="Arial" w:cs="Arial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1F6006">
                        <w:rPr>
                          <w:rFonts w:ascii="Tahoma" w:hAnsi="Arial" w:cs="Aria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1.4.2016-30.6.2016</w:t>
                      </w:r>
                      <w:r w:rsidRPr="00C1146D">
                        <w:rPr>
                          <w:rFonts w:ascii="Tahoma" w:hAnsi="Arial" w:cs="Arial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מחוז:72120 מחוז צפון נפה: 72121 נפתית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0A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09C47" wp14:editId="1A882FEE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2BB1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tbl>
      <w:tblPr>
        <w:tblpPr w:leftFromText="180" w:rightFromText="180" w:vertAnchor="page" w:horzAnchor="margin" w:tblpXSpec="center" w:tblpY="3877"/>
        <w:bidiVisual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1276"/>
        <w:gridCol w:w="1313"/>
        <w:gridCol w:w="1011"/>
        <w:gridCol w:w="1011"/>
        <w:gridCol w:w="1124"/>
        <w:gridCol w:w="1042"/>
        <w:gridCol w:w="1126"/>
      </w:tblGrid>
      <w:tr w:rsidR="005720A8" w:rsidRPr="002B7BF7" w:rsidTr="005720A8">
        <w:trPr>
          <w:trHeight w:val="682"/>
        </w:trPr>
        <w:tc>
          <w:tcPr>
            <w:tcW w:w="1171" w:type="dxa"/>
            <w:shd w:val="clear" w:color="auto" w:fill="auto"/>
            <w:vAlign w:val="center"/>
          </w:tcPr>
          <w:p w:rsidR="005720A8" w:rsidRPr="002B7BF7" w:rsidRDefault="005720A8" w:rsidP="005720A8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2B7BF7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0A8" w:rsidRPr="002B7BF7" w:rsidRDefault="005720A8" w:rsidP="005720A8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2B7BF7">
              <w:rPr>
                <w:rFonts w:hint="cs"/>
                <w:b/>
                <w:bCs/>
                <w:color w:val="0000FF"/>
                <w:rtl/>
              </w:rPr>
              <w:t>קבוצת בדיקה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720A8" w:rsidRPr="002B7BF7" w:rsidRDefault="005720A8" w:rsidP="005720A8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2B7BF7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11" w:type="dxa"/>
            <w:vAlign w:val="center"/>
          </w:tcPr>
          <w:p w:rsidR="005720A8" w:rsidRPr="002B7BF7" w:rsidRDefault="005720A8" w:rsidP="005720A8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2B7BF7">
              <w:rPr>
                <w:rFonts w:hint="cs"/>
                <w:b/>
                <w:bCs/>
                <w:color w:val="0000FF"/>
                <w:rtl/>
              </w:rPr>
              <w:t>מס' דגימות מתוכנן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5720A8" w:rsidRPr="002B7BF7" w:rsidRDefault="005720A8" w:rsidP="005720A8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2B7BF7">
              <w:rPr>
                <w:rFonts w:hint="cs"/>
                <w:b/>
                <w:bCs/>
                <w:color w:val="0000FF"/>
                <w:rtl/>
              </w:rPr>
              <w:t>מס' דגימות שבוצע</w:t>
            </w:r>
          </w:p>
        </w:tc>
        <w:tc>
          <w:tcPr>
            <w:tcW w:w="1124" w:type="dxa"/>
            <w:vAlign w:val="center"/>
          </w:tcPr>
          <w:p w:rsidR="005720A8" w:rsidRPr="002B7BF7" w:rsidRDefault="005720A8" w:rsidP="005720A8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2B7BF7">
              <w:rPr>
                <w:rFonts w:hint="cs"/>
                <w:b/>
                <w:bCs/>
                <w:color w:val="0000FF"/>
                <w:rtl/>
              </w:rPr>
              <w:t>אחוז ביצוע הדיגום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720A8" w:rsidRPr="002B7BF7" w:rsidRDefault="005720A8" w:rsidP="005720A8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2B7BF7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720A8" w:rsidRPr="002B7BF7" w:rsidRDefault="005720A8" w:rsidP="005720A8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2B7BF7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3D47D7" w:rsidRPr="002B7BF7" w:rsidTr="005720A8">
        <w:trPr>
          <w:trHeight w:val="541"/>
        </w:trPr>
        <w:tc>
          <w:tcPr>
            <w:tcW w:w="1171" w:type="dxa"/>
            <w:vMerge w:val="restart"/>
            <w:shd w:val="clear" w:color="auto" w:fill="auto"/>
            <w:vAlign w:val="center"/>
          </w:tcPr>
          <w:p w:rsidR="003D47D7" w:rsidRPr="002B7BF7" w:rsidRDefault="003D47D7" w:rsidP="005720A8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מג'דל שמס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47D7" w:rsidRPr="002B7BF7" w:rsidRDefault="003D47D7" w:rsidP="005720A8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2B7BF7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D47D7" w:rsidRPr="002B7BF7" w:rsidRDefault="003D47D7" w:rsidP="005720A8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2B7BF7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D7" w:rsidRPr="002B7BF7" w:rsidRDefault="001F6006" w:rsidP="005720A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D7" w:rsidRPr="002B7BF7" w:rsidRDefault="001F6006" w:rsidP="005720A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D7" w:rsidRPr="002B7BF7" w:rsidRDefault="003D47D7" w:rsidP="005720A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100%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D7" w:rsidRPr="002B7BF7" w:rsidRDefault="001F6006" w:rsidP="00C1146D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D7" w:rsidRPr="002B7BF7" w:rsidRDefault="003D47D7" w:rsidP="005720A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0%</w:t>
            </w:r>
          </w:p>
        </w:tc>
      </w:tr>
      <w:tr w:rsidR="003D47D7" w:rsidRPr="002B7BF7" w:rsidTr="00316663">
        <w:trPr>
          <w:trHeight w:val="541"/>
        </w:trPr>
        <w:tc>
          <w:tcPr>
            <w:tcW w:w="1171" w:type="dxa"/>
            <w:vMerge/>
            <w:shd w:val="clear" w:color="auto" w:fill="auto"/>
            <w:vAlign w:val="center"/>
          </w:tcPr>
          <w:p w:rsidR="003D47D7" w:rsidRDefault="003D47D7" w:rsidP="003D47D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47D7" w:rsidRPr="00D26633" w:rsidRDefault="003D47D7" w:rsidP="003D47D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פלואוריד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D47D7" w:rsidRPr="00D26633" w:rsidRDefault="003D47D7" w:rsidP="003D47D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11" w:type="dxa"/>
            <w:vAlign w:val="center"/>
          </w:tcPr>
          <w:p w:rsidR="003D47D7" w:rsidRPr="00D26633" w:rsidRDefault="003D47D7" w:rsidP="003D47D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D47D7" w:rsidRPr="00D26633" w:rsidRDefault="003D47D7" w:rsidP="003D47D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24" w:type="dxa"/>
            <w:vAlign w:val="center"/>
          </w:tcPr>
          <w:p w:rsidR="003D47D7" w:rsidRPr="00D26633" w:rsidRDefault="003D47D7" w:rsidP="003D47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1"/>
                <w:szCs w:val="21"/>
                <w:rtl/>
              </w:rPr>
              <w:t>100%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:rsidR="003D47D7" w:rsidRPr="00D26633" w:rsidRDefault="003D47D7" w:rsidP="003D47D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ascii="Arial" w:eastAsia="Times New Roman" w:hAnsi="Arial" w:cs="Arial" w:hint="cs"/>
                <w:color w:val="000000"/>
                <w:sz w:val="21"/>
                <w:szCs w:val="21"/>
                <w:rtl/>
              </w:rPr>
              <w:t>ריכוז הפלואוריד הטבעי במים נמוך מהמומלץ</w:t>
            </w:r>
          </w:p>
        </w:tc>
      </w:tr>
    </w:tbl>
    <w:p w:rsidR="00A77F9F" w:rsidRDefault="00A77F9F" w:rsidP="002C450A">
      <w:pPr>
        <w:rPr>
          <w:sz w:val="18"/>
          <w:szCs w:val="18"/>
          <w:rtl/>
        </w:rPr>
      </w:pPr>
    </w:p>
    <w:p w:rsidR="00CD7354" w:rsidRDefault="00CD7354" w:rsidP="00CD7354">
      <w:pPr>
        <w:pStyle w:val="ab"/>
        <w:spacing w:after="0" w:line="360" w:lineRule="auto"/>
        <w:ind w:left="644"/>
        <w:rPr>
          <w:rFonts w:ascii="David" w:hAnsi="David" w:cs="David"/>
          <w:b/>
          <w:bCs/>
          <w:rtl/>
        </w:rPr>
      </w:pPr>
    </w:p>
    <w:p w:rsidR="005720A8" w:rsidRPr="00CD7354" w:rsidRDefault="005720A8" w:rsidP="00CD7354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b/>
          <w:bCs/>
          <w:sz w:val="24"/>
          <w:szCs w:val="24"/>
        </w:rPr>
      </w:pPr>
      <w:r w:rsidRPr="00CD7354">
        <w:rPr>
          <w:rFonts w:ascii="David" w:hAnsi="David" w:cs="David" w:hint="cs"/>
          <w:b/>
          <w:bCs/>
          <w:sz w:val="24"/>
          <w:szCs w:val="24"/>
          <w:rtl/>
        </w:rPr>
        <w:t xml:space="preserve">תקן מי השתייה </w:t>
      </w:r>
      <w:proofErr w:type="spellStart"/>
      <w:r w:rsidRPr="00CD7354">
        <w:rPr>
          <w:rFonts w:ascii="David" w:hAnsi="David" w:cs="David" w:hint="cs"/>
          <w:b/>
          <w:bCs/>
          <w:sz w:val="24"/>
          <w:szCs w:val="24"/>
          <w:rtl/>
        </w:rPr>
        <w:t>המיקרוביאלי</w:t>
      </w:r>
      <w:proofErr w:type="spellEnd"/>
      <w:r w:rsidRPr="00CD7354">
        <w:rPr>
          <w:rFonts w:ascii="David" w:hAnsi="David" w:cs="David" w:hint="cs"/>
          <w:b/>
          <w:bCs/>
          <w:sz w:val="24"/>
          <w:szCs w:val="24"/>
          <w:rtl/>
        </w:rPr>
        <w:t xml:space="preserve"> קובע 0 חיידקי קוליפורם ב- 100 מ"ל מי דגימה.</w:t>
      </w:r>
    </w:p>
    <w:p w:rsidR="005720A8" w:rsidRPr="00CD7354" w:rsidRDefault="005720A8" w:rsidP="00CD7354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CD7354">
        <w:rPr>
          <w:rFonts w:ascii="David" w:hAnsi="David" w:cs="David" w:hint="cs"/>
          <w:sz w:val="24"/>
          <w:szCs w:val="24"/>
          <w:rtl/>
        </w:rPr>
        <w:t xml:space="preserve">טווח הכלור הנותר 0.1-0.5 </w:t>
      </w:r>
      <w:proofErr w:type="spellStart"/>
      <w:r w:rsidRPr="00CD7354">
        <w:rPr>
          <w:rFonts w:ascii="David" w:hAnsi="David" w:cs="David" w:hint="cs"/>
          <w:sz w:val="24"/>
          <w:szCs w:val="24"/>
          <w:rtl/>
        </w:rPr>
        <w:t>מג"ל</w:t>
      </w:r>
      <w:proofErr w:type="spellEnd"/>
      <w:r w:rsidRPr="00CD7354">
        <w:rPr>
          <w:rFonts w:ascii="David" w:hAnsi="David" w:cs="David" w:hint="cs"/>
          <w:sz w:val="24"/>
          <w:szCs w:val="24"/>
          <w:rtl/>
        </w:rPr>
        <w:t xml:space="preserve">. הערכים המוצגים </w:t>
      </w:r>
      <w:r w:rsidRPr="00CD7354">
        <w:rPr>
          <w:rFonts w:ascii="David" w:hAnsi="David" w:cs="David" w:hint="cs"/>
          <w:sz w:val="24"/>
          <w:szCs w:val="24"/>
          <w:u w:val="single"/>
          <w:rtl/>
        </w:rPr>
        <w:t>תקינים</w:t>
      </w:r>
      <w:r w:rsidRPr="00CD7354">
        <w:rPr>
          <w:rFonts w:ascii="David" w:hAnsi="David" w:cs="David" w:hint="cs"/>
          <w:sz w:val="24"/>
          <w:szCs w:val="24"/>
          <w:rtl/>
        </w:rPr>
        <w:t>.</w:t>
      </w:r>
    </w:p>
    <w:p w:rsidR="005720A8" w:rsidRPr="00CD7354" w:rsidRDefault="005720A8" w:rsidP="00CD7354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CD7354">
        <w:rPr>
          <w:rFonts w:ascii="David" w:hAnsi="David" w:cs="David" w:hint="cs"/>
          <w:sz w:val="24"/>
          <w:szCs w:val="24"/>
          <w:rtl/>
        </w:rPr>
        <w:t xml:space="preserve">רמת העכירות המקסימלית המותרת היא 1 </w:t>
      </w:r>
      <w:proofErr w:type="spellStart"/>
      <w:r w:rsidRPr="00CD7354">
        <w:rPr>
          <w:rFonts w:ascii="David" w:hAnsi="David" w:cs="David" w:hint="cs"/>
          <w:sz w:val="24"/>
          <w:szCs w:val="24"/>
          <w:rtl/>
        </w:rPr>
        <w:t>יע"ן</w:t>
      </w:r>
      <w:proofErr w:type="spellEnd"/>
      <w:r w:rsidRPr="00CD7354">
        <w:rPr>
          <w:rFonts w:ascii="David" w:hAnsi="David" w:cs="David" w:hint="cs"/>
          <w:sz w:val="24"/>
          <w:szCs w:val="24"/>
          <w:rtl/>
        </w:rPr>
        <w:t xml:space="preserve">. כל הממצאים </w:t>
      </w:r>
      <w:r w:rsidRPr="00CD7354">
        <w:rPr>
          <w:rFonts w:ascii="David" w:hAnsi="David" w:cs="David" w:hint="cs"/>
          <w:sz w:val="24"/>
          <w:szCs w:val="24"/>
          <w:u w:val="single"/>
          <w:rtl/>
        </w:rPr>
        <w:t>תקינים</w:t>
      </w:r>
      <w:r w:rsidRPr="00CD7354">
        <w:rPr>
          <w:rFonts w:ascii="David" w:hAnsi="David" w:cs="David" w:hint="cs"/>
          <w:sz w:val="24"/>
          <w:szCs w:val="24"/>
          <w:rtl/>
        </w:rPr>
        <w:t>.</w:t>
      </w:r>
    </w:p>
    <w:p w:rsidR="003D47D7" w:rsidRPr="00CD7354" w:rsidRDefault="003D47D7" w:rsidP="00CD7354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CD7354">
        <w:rPr>
          <w:rFonts w:ascii="David" w:hAnsi="David" w:cs="David" w:hint="cs"/>
          <w:sz w:val="24"/>
          <w:szCs w:val="24"/>
          <w:rtl/>
        </w:rPr>
        <w:t>החל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מאוגוסט</w:t>
      </w:r>
      <w:r w:rsidRPr="00CD7354">
        <w:rPr>
          <w:rFonts w:ascii="David" w:hAnsi="David" w:cs="David"/>
          <w:sz w:val="24"/>
          <w:szCs w:val="24"/>
          <w:rtl/>
        </w:rPr>
        <w:t xml:space="preserve"> 2014 </w:t>
      </w:r>
      <w:r w:rsidRPr="00CD7354">
        <w:rPr>
          <w:rFonts w:ascii="David" w:hAnsi="David" w:cs="David" w:hint="cs"/>
          <w:sz w:val="24"/>
          <w:szCs w:val="24"/>
          <w:rtl/>
        </w:rPr>
        <w:t>בוטלה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חובת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תוספת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הפלואוריד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למי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שתיה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ועל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כן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ממצאי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הדיגום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מעידים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על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הריכוז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הטבעי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של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הפלואוריד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במים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המסופקים</w:t>
      </w:r>
      <w:r w:rsidRPr="00CD7354">
        <w:rPr>
          <w:rFonts w:ascii="David" w:hAnsi="David" w:cs="David"/>
          <w:sz w:val="24"/>
          <w:szCs w:val="24"/>
          <w:rtl/>
        </w:rPr>
        <w:t xml:space="preserve">, </w:t>
      </w:r>
      <w:r w:rsidRPr="00CD7354">
        <w:rPr>
          <w:rFonts w:ascii="David" w:hAnsi="David" w:cs="David" w:hint="cs"/>
          <w:sz w:val="24"/>
          <w:szCs w:val="24"/>
          <w:rtl/>
        </w:rPr>
        <w:t>שכידוע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הינו</w:t>
      </w:r>
      <w:r w:rsidRPr="00CD7354">
        <w:rPr>
          <w:rFonts w:ascii="David" w:hAnsi="David" w:cs="David"/>
          <w:sz w:val="24"/>
          <w:szCs w:val="24"/>
          <w:rtl/>
        </w:rPr>
        <w:t xml:space="preserve"> </w:t>
      </w:r>
      <w:r w:rsidRPr="00CD7354">
        <w:rPr>
          <w:rFonts w:ascii="David" w:hAnsi="David" w:cs="David" w:hint="cs"/>
          <w:sz w:val="24"/>
          <w:szCs w:val="24"/>
          <w:rtl/>
        </w:rPr>
        <w:t>נמוך</w:t>
      </w:r>
      <w:r w:rsidRPr="00CD7354">
        <w:rPr>
          <w:rFonts w:ascii="David" w:hAnsi="David" w:cs="David"/>
          <w:sz w:val="24"/>
          <w:szCs w:val="24"/>
          <w:rtl/>
        </w:rPr>
        <w:t>.</w:t>
      </w:r>
    </w:p>
    <w:p w:rsidR="005720A8" w:rsidRPr="00CD7354" w:rsidRDefault="005720A8" w:rsidP="00CD7354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CD7354">
        <w:rPr>
          <w:rFonts w:ascii="David" w:hAnsi="David" w:cs="David"/>
          <w:sz w:val="24"/>
          <w:szCs w:val="24"/>
          <w:rtl/>
        </w:rPr>
        <w:t>נקבעו כללים המחייבים את ספק המים לדווח לציבור את איכות המים המסופקים לו.</w:t>
      </w:r>
    </w:p>
    <w:p w:rsidR="005720A8" w:rsidRPr="00CD7354" w:rsidRDefault="005720A8" w:rsidP="00CD7354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/>
          <w:sz w:val="24"/>
          <w:szCs w:val="24"/>
          <w:rtl/>
        </w:rPr>
      </w:pPr>
      <w:r w:rsidRPr="00CD7354">
        <w:rPr>
          <w:rFonts w:ascii="David" w:hAnsi="David" w:cs="David"/>
          <w:sz w:val="24"/>
          <w:szCs w:val="24"/>
          <w:rtl/>
        </w:rPr>
        <w:t>תאגיד התנור פועל בשקיפות מלאה ומפרסם כל רבעון את איכות המים המסופקים.</w:t>
      </w:r>
    </w:p>
    <w:p w:rsidR="00D21760" w:rsidRPr="00A77F9F" w:rsidRDefault="001F6006" w:rsidP="00A77F9F">
      <w:pPr>
        <w:bidi w:val="0"/>
        <w:rPr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7687B078" wp14:editId="4E89D518">
            <wp:simplePos x="0" y="0"/>
            <wp:positionH relativeFrom="margin">
              <wp:align>center</wp:align>
            </wp:positionH>
            <wp:positionV relativeFrom="paragraph">
              <wp:posOffset>472292</wp:posOffset>
            </wp:positionV>
            <wp:extent cx="7019925" cy="2120265"/>
            <wp:effectExtent l="0" t="0" r="9525" b="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12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1760" w:rsidRPr="00A77F9F" w:rsidSect="000B590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3ED" w:rsidRDefault="00E763ED" w:rsidP="000B46D2">
      <w:pPr>
        <w:spacing w:after="0" w:line="240" w:lineRule="auto"/>
      </w:pPr>
      <w:r>
        <w:separator/>
      </w:r>
    </w:p>
  </w:endnote>
  <w:endnote w:type="continuationSeparator" w:id="0">
    <w:p w:rsidR="00E763ED" w:rsidRDefault="00E763ED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CD7354">
    <w:pPr>
      <w:pStyle w:val="a7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4658B92" wp14:editId="76A85513">
          <wp:simplePos x="0" y="0"/>
          <wp:positionH relativeFrom="column">
            <wp:posOffset>295275</wp:posOffset>
          </wp:positionH>
          <wp:positionV relativeFrom="paragraph">
            <wp:posOffset>-140335</wp:posOffset>
          </wp:positionV>
          <wp:extent cx="475615" cy="518160"/>
          <wp:effectExtent l="0" t="0" r="635" b="0"/>
          <wp:wrapTight wrapText="bothSides">
            <wp:wrapPolygon edited="0">
              <wp:start x="0" y="0"/>
              <wp:lineTo x="0" y="20647"/>
              <wp:lineTo x="20764" y="20647"/>
              <wp:lineTo x="20764" y="0"/>
              <wp:lineTo x="0" y="0"/>
            </wp:wrapPolygon>
          </wp:wrapTight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268D"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 wp14:anchorId="6CD26129" wp14:editId="5DE6555C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3ED" w:rsidRDefault="00E763ED" w:rsidP="000B46D2">
      <w:pPr>
        <w:spacing w:after="0" w:line="240" w:lineRule="auto"/>
      </w:pPr>
      <w:r>
        <w:separator/>
      </w:r>
    </w:p>
  </w:footnote>
  <w:footnote w:type="continuationSeparator" w:id="0">
    <w:p w:rsidR="00E763ED" w:rsidRDefault="00E763ED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3143885</wp:posOffset>
          </wp:positionH>
          <wp:positionV relativeFrom="paragraph">
            <wp:posOffset>-348615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223AD"/>
    <w:multiLevelType w:val="hybridMultilevel"/>
    <w:tmpl w:val="DA0A4DC6"/>
    <w:lvl w:ilvl="0" w:tplc="F3AA8390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01C30"/>
    <w:rsid w:val="000B46D2"/>
    <w:rsid w:val="000B5905"/>
    <w:rsid w:val="000C06E7"/>
    <w:rsid w:val="000D0ABD"/>
    <w:rsid w:val="000F0BC7"/>
    <w:rsid w:val="00135F0E"/>
    <w:rsid w:val="00186D1C"/>
    <w:rsid w:val="001F6006"/>
    <w:rsid w:val="002339EE"/>
    <w:rsid w:val="00272E20"/>
    <w:rsid w:val="002B7BF7"/>
    <w:rsid w:val="002C450A"/>
    <w:rsid w:val="003A1D8C"/>
    <w:rsid w:val="003C3E9B"/>
    <w:rsid w:val="003D47D7"/>
    <w:rsid w:val="00407B50"/>
    <w:rsid w:val="004128DF"/>
    <w:rsid w:val="00423641"/>
    <w:rsid w:val="00430A6E"/>
    <w:rsid w:val="00470971"/>
    <w:rsid w:val="00512219"/>
    <w:rsid w:val="00553017"/>
    <w:rsid w:val="005720A8"/>
    <w:rsid w:val="0059268D"/>
    <w:rsid w:val="005A5CEC"/>
    <w:rsid w:val="005B0719"/>
    <w:rsid w:val="005C50E9"/>
    <w:rsid w:val="00606FD9"/>
    <w:rsid w:val="00626A29"/>
    <w:rsid w:val="00643DC9"/>
    <w:rsid w:val="006856F2"/>
    <w:rsid w:val="00691E97"/>
    <w:rsid w:val="006A0DC4"/>
    <w:rsid w:val="006A2DB7"/>
    <w:rsid w:val="006E3916"/>
    <w:rsid w:val="00767EDB"/>
    <w:rsid w:val="00870B3D"/>
    <w:rsid w:val="00883FAA"/>
    <w:rsid w:val="00893785"/>
    <w:rsid w:val="009538F3"/>
    <w:rsid w:val="009B2309"/>
    <w:rsid w:val="009B4D79"/>
    <w:rsid w:val="009B71D8"/>
    <w:rsid w:val="009C49F0"/>
    <w:rsid w:val="009D04CF"/>
    <w:rsid w:val="00A074AE"/>
    <w:rsid w:val="00A3361C"/>
    <w:rsid w:val="00A429F6"/>
    <w:rsid w:val="00A53669"/>
    <w:rsid w:val="00A65ED2"/>
    <w:rsid w:val="00A70297"/>
    <w:rsid w:val="00A77F9F"/>
    <w:rsid w:val="00A9620F"/>
    <w:rsid w:val="00A9747F"/>
    <w:rsid w:val="00AA3E83"/>
    <w:rsid w:val="00AD0776"/>
    <w:rsid w:val="00B10706"/>
    <w:rsid w:val="00B20C32"/>
    <w:rsid w:val="00B3128C"/>
    <w:rsid w:val="00B81019"/>
    <w:rsid w:val="00BD0E48"/>
    <w:rsid w:val="00C04C7A"/>
    <w:rsid w:val="00C1146D"/>
    <w:rsid w:val="00C936AE"/>
    <w:rsid w:val="00C94093"/>
    <w:rsid w:val="00C970F1"/>
    <w:rsid w:val="00CC37AB"/>
    <w:rsid w:val="00CD7354"/>
    <w:rsid w:val="00D024E8"/>
    <w:rsid w:val="00D17C0F"/>
    <w:rsid w:val="00D21760"/>
    <w:rsid w:val="00D2473C"/>
    <w:rsid w:val="00D37989"/>
    <w:rsid w:val="00D5582D"/>
    <w:rsid w:val="00E51144"/>
    <w:rsid w:val="00E763ED"/>
    <w:rsid w:val="00E87451"/>
    <w:rsid w:val="00E91C96"/>
    <w:rsid w:val="00E93AD8"/>
    <w:rsid w:val="00E947F3"/>
    <w:rsid w:val="00EB4FB2"/>
    <w:rsid w:val="00F0622B"/>
    <w:rsid w:val="00F24443"/>
    <w:rsid w:val="00F434CC"/>
    <w:rsid w:val="00F43E0F"/>
    <w:rsid w:val="00F449DA"/>
    <w:rsid w:val="00F62D7A"/>
    <w:rsid w:val="00F75CD8"/>
    <w:rsid w:val="00FA0FCA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Matan</cp:lastModifiedBy>
  <cp:revision>2</cp:revision>
  <cp:lastPrinted>2015-10-12T14:11:00Z</cp:lastPrinted>
  <dcterms:created xsi:type="dcterms:W3CDTF">2016-07-20T08:29:00Z</dcterms:created>
  <dcterms:modified xsi:type="dcterms:W3CDTF">2016-07-20T08:29:00Z</dcterms:modified>
</cp:coreProperties>
</file>